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CA" w:rsidRPr="00574BCA" w:rsidRDefault="00574BCA" w:rsidP="00574BCA">
      <w:pPr>
        <w:bidi/>
        <w:spacing w:after="0" w:line="450" w:lineRule="atLeast"/>
        <w:ind w:left="90" w:firstLine="450"/>
        <w:jc w:val="center"/>
        <w:rPr>
          <w:rFonts w:ascii="Tahoma" w:eastAsia="Times New Roman" w:hAnsi="Tahoma" w:cs="B Nazanin"/>
          <w:b/>
          <w:bCs/>
          <w:sz w:val="24"/>
          <w:szCs w:val="24"/>
          <w:rtl/>
        </w:rPr>
      </w:pPr>
      <w:r>
        <w:rPr>
          <w:rFonts w:ascii="Tahoma" w:eastAsia="Times New Roman" w:hAnsi="Tahoma" w:cs="B Nazanin"/>
          <w:b/>
          <w:bCs/>
          <w:sz w:val="24"/>
          <w:szCs w:val="24"/>
        </w:rPr>
        <w:t xml:space="preserve"> </w:t>
      </w:r>
    </w:p>
    <w:p w:rsidR="003E2850" w:rsidRDefault="003E2850" w:rsidP="003E2850">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w:t>
      </w:r>
      <w:r w:rsidR="00E530D3">
        <w:rPr>
          <w:rFonts w:ascii="B Nazanin,Bold" w:eastAsia="Calibri" w:hAnsi="Arial" w:cs="B Nazanin" w:hint="cs"/>
          <w:color w:val="000000"/>
          <w:sz w:val="24"/>
          <w:szCs w:val="24"/>
          <w:rtl/>
          <w:lang w:bidi="fa-IR"/>
        </w:rPr>
        <w:t>، کرسی های علمی و ترویجی</w:t>
      </w:r>
      <w:bookmarkStart w:id="0" w:name="_GoBack"/>
      <w:bookmarkEnd w:id="0"/>
      <w:r>
        <w:rPr>
          <w:rFonts w:ascii="B Nazanin,Bold" w:eastAsia="Calibri" w:hAnsi="Arial" w:cs="B Nazanin" w:hint="cs"/>
          <w:color w:val="000000"/>
          <w:sz w:val="24"/>
          <w:szCs w:val="24"/>
          <w:rtl/>
          <w:lang w:bidi="fa-IR"/>
        </w:rPr>
        <w:t xml:space="preserve">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473387">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820F6D">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bidi/>
        <w:spacing w:line="100" w:lineRule="atLeast"/>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DE57AC">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C01A46" w:rsidRPr="009957CB" w:rsidRDefault="00C01A46" w:rsidP="00DE57AC">
      <w:pPr>
        <w:numPr>
          <w:ilvl w:val="0"/>
          <w:numId w:val="7"/>
        </w:numPr>
        <w:bidi/>
        <w:spacing w:line="100" w:lineRule="atLeast"/>
        <w:ind w:left="994"/>
        <w:jc w:val="both"/>
        <w:rPr>
          <w:rFonts w:ascii="B Nazanin" w:eastAsia="Calibri" w:hAnsi="Arial" w:cs="B Nazanin"/>
          <w:color w:val="000000"/>
          <w:sz w:val="24"/>
          <w:szCs w:val="24"/>
          <w:rtl/>
        </w:rPr>
      </w:pPr>
      <w:r w:rsidRPr="009957CB">
        <w:rPr>
          <w:rFonts w:ascii="B Nazanin" w:eastAsia="Calibri" w:hAnsi="Arial" w:cs="B Nazanin" w:hint="cs"/>
          <w:color w:val="000000"/>
          <w:sz w:val="24"/>
          <w:szCs w:val="24"/>
          <w:rtl/>
        </w:rPr>
        <w:lastRenderedPageBreak/>
        <w:t>تجارب جهانی در عرصه رشد حرفه ای معلمان</w:t>
      </w:r>
      <w:r w:rsidR="00473387">
        <w:rPr>
          <w:rFonts w:ascii="B Nazanin" w:eastAsia="Calibri" w:hAnsi="Arial" w:cs="B Nazanin" w:hint="cs"/>
          <w:color w:val="000000"/>
          <w:sz w:val="24"/>
          <w:szCs w:val="24"/>
          <w:rtl/>
        </w:rPr>
        <w:t>.</w:t>
      </w:r>
    </w:p>
    <w:p w:rsidR="00574BCA" w:rsidRPr="00574BCA" w:rsidRDefault="00574BCA" w:rsidP="00574BCA">
      <w:pPr>
        <w:bidi/>
        <w:spacing w:line="240" w:lineRule="auto"/>
        <w:ind w:left="90" w:firstLine="180"/>
        <w:jc w:val="both"/>
        <w:rPr>
          <w:rFonts w:ascii="Calibri" w:eastAsia="Calibri" w:hAnsi="Calibri" w:cs="B Nazanin"/>
          <w:sz w:val="24"/>
          <w:szCs w:val="24"/>
        </w:rPr>
      </w:pPr>
    </w:p>
    <w:sectPr w:rsidR="00574BCA" w:rsidRPr="0057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5A"/>
    <w:rsid w:val="00077A43"/>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713A2"/>
    <w:rsid w:val="006B3C90"/>
    <w:rsid w:val="00707C1C"/>
    <w:rsid w:val="007163AD"/>
    <w:rsid w:val="007B6D4F"/>
    <w:rsid w:val="007F7A48"/>
    <w:rsid w:val="00820F6D"/>
    <w:rsid w:val="00860648"/>
    <w:rsid w:val="008F03B5"/>
    <w:rsid w:val="009015EB"/>
    <w:rsid w:val="0091108B"/>
    <w:rsid w:val="00925A4D"/>
    <w:rsid w:val="009269B6"/>
    <w:rsid w:val="009957CB"/>
    <w:rsid w:val="00AB37FF"/>
    <w:rsid w:val="00AD173A"/>
    <w:rsid w:val="00BB7F71"/>
    <w:rsid w:val="00C01A46"/>
    <w:rsid w:val="00C01E9F"/>
    <w:rsid w:val="00C3125A"/>
    <w:rsid w:val="00C52840"/>
    <w:rsid w:val="00D53688"/>
    <w:rsid w:val="00D6590C"/>
    <w:rsid w:val="00D76D90"/>
    <w:rsid w:val="00DA780A"/>
    <w:rsid w:val="00DE57AC"/>
    <w:rsid w:val="00E27D67"/>
    <w:rsid w:val="00E530D3"/>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BD0FA-5BD4-4DE5-BF5B-01913BFB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najmeh soltanienejad</cp:lastModifiedBy>
  <cp:revision>3</cp:revision>
  <dcterms:created xsi:type="dcterms:W3CDTF">2016-08-21T06:52:00Z</dcterms:created>
  <dcterms:modified xsi:type="dcterms:W3CDTF">2016-09-17T05:49:00Z</dcterms:modified>
</cp:coreProperties>
</file>